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AA" w:rsidRPr="00D342AA" w:rsidRDefault="00744D20" w:rsidP="00744D20">
      <w:pPr>
        <w:spacing w:after="0" w:line="240" w:lineRule="auto"/>
        <w:jc w:val="center"/>
        <w:rPr>
          <w:rFonts w:ascii="Lindsey" w:eastAsia="Times New Roman" w:hAnsi="Lindsey" w:cstheme="minorHAnsi"/>
          <w:b/>
          <w:bCs/>
          <w:iCs/>
          <w:sz w:val="23"/>
          <w:szCs w:val="23"/>
        </w:rPr>
      </w:pPr>
      <w:r>
        <w:rPr>
          <w:rFonts w:ascii="Lindsey" w:eastAsia="Times New Roman" w:hAnsi="Lindsey" w:cstheme="minorHAnsi"/>
          <w:b/>
          <w:bCs/>
          <w:iCs/>
          <w:sz w:val="23"/>
          <w:szCs w:val="23"/>
          <w:highlight w:val="yellow"/>
          <w:u w:val="single"/>
        </w:rPr>
        <w:t xml:space="preserve">Rationale for </w:t>
      </w:r>
      <w:r w:rsidR="00D342AA" w:rsidRPr="00D342AA">
        <w:rPr>
          <w:rFonts w:ascii="Lindsey" w:eastAsia="Times New Roman" w:hAnsi="Lindsey" w:cstheme="minorHAnsi"/>
          <w:b/>
          <w:bCs/>
          <w:iCs/>
          <w:sz w:val="23"/>
          <w:szCs w:val="23"/>
          <w:highlight w:val="yellow"/>
          <w:u w:val="single"/>
        </w:rPr>
        <w:t>Project-Based Learning (PBL)</w:t>
      </w:r>
    </w:p>
    <w:p w:rsidR="00367B24" w:rsidRDefault="00367B24" w:rsidP="00D342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indsey" w:eastAsia="Times New Roman" w:hAnsi="Lindsey" w:cstheme="minorHAnsi"/>
          <w:bCs/>
          <w:sz w:val="23"/>
          <w:szCs w:val="23"/>
        </w:rPr>
      </w:pP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Project-based Learning (PBL) </w:t>
      </w:r>
      <w:r w:rsidRPr="00D342AA">
        <w:rPr>
          <w:rFonts w:ascii="Lindsey" w:eastAsia="Times New Roman" w:hAnsi="Lindsey" w:cstheme="minorHAnsi"/>
          <w:bCs/>
          <w:sz w:val="23"/>
          <w:szCs w:val="23"/>
          <w:u w:val="single"/>
        </w:rPr>
        <w:t>develops the seven student proficiencies essential to the NGSS, the College and Career Readiness Standards, and the Common Core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>: 1) critical thinking, 2) creative thinking, 3) complex thinking, 4) comprehensive thinking, 5) collaborative thinking, 6) communicative thinking, and 7) cognitive transfer.</w:t>
      </w:r>
    </w:p>
    <w:p w:rsidR="00744D20" w:rsidRPr="00D342AA" w:rsidRDefault="00744D20" w:rsidP="00744D20">
      <w:pPr>
        <w:pStyle w:val="ListParagraph"/>
        <w:spacing w:before="100" w:beforeAutospacing="1" w:after="100" w:afterAutospacing="1" w:line="240" w:lineRule="auto"/>
        <w:rPr>
          <w:rFonts w:ascii="Lindsey" w:eastAsia="Times New Roman" w:hAnsi="Lindsey" w:cstheme="minorHAnsi"/>
          <w:bCs/>
          <w:sz w:val="23"/>
          <w:szCs w:val="23"/>
        </w:rPr>
      </w:pPr>
    </w:p>
    <w:p w:rsidR="00744D20" w:rsidRPr="00744D20" w:rsidRDefault="00367B24" w:rsidP="00744D2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indsey" w:eastAsia="Times New Roman" w:hAnsi="Lindsey" w:cstheme="minorHAnsi"/>
          <w:sz w:val="23"/>
          <w:szCs w:val="23"/>
        </w:rPr>
      </w:pPr>
      <w:r w:rsidRPr="00D342AA">
        <w:rPr>
          <w:rFonts w:ascii="Lindsey" w:eastAsia="Times New Roman" w:hAnsi="Lindsey" w:cstheme="minorHAnsi"/>
          <w:bCs/>
          <w:sz w:val="23"/>
          <w:szCs w:val="23"/>
          <w:u w:val="single"/>
        </w:rPr>
        <w:t>Real life context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 is important for learners to be convinced that academic learning is not just a meaningless exercise but is </w:t>
      </w:r>
      <w:r w:rsidRPr="00D342AA">
        <w:rPr>
          <w:rFonts w:ascii="Lindsey" w:eastAsia="Times New Roman" w:hAnsi="Lindsey" w:cstheme="minorHAnsi"/>
          <w:bCs/>
          <w:sz w:val="23"/>
          <w:szCs w:val="23"/>
          <w:u w:val="single"/>
        </w:rPr>
        <w:t>worthwhile and relevant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>.  PBL is apprenticeship for real life problem</w:t>
      </w:r>
      <w:r w:rsidR="00D342AA" w:rsidRPr="00D342AA">
        <w:rPr>
          <w:rFonts w:ascii="Lindsey" w:eastAsia="Times New Roman" w:hAnsi="Lindsey" w:cstheme="minorHAnsi"/>
          <w:bCs/>
          <w:sz w:val="23"/>
          <w:szCs w:val="23"/>
        </w:rPr>
        <w:t>-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 solving and </w:t>
      </w:r>
      <w:r w:rsidRPr="00D342AA">
        <w:rPr>
          <w:rFonts w:ascii="Lindsey" w:eastAsia="Times New Roman" w:hAnsi="Lindsey" w:cstheme="minorHAnsi"/>
          <w:bCs/>
          <w:sz w:val="23"/>
          <w:szCs w:val="23"/>
          <w:u w:val="single"/>
        </w:rPr>
        <w:t>promotes problem-solving skills in learners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 (</w:t>
      </w:r>
      <w:proofErr w:type="spellStart"/>
      <w:r w:rsidRPr="00D342AA">
        <w:rPr>
          <w:rFonts w:ascii="Lindsey" w:eastAsia="Times New Roman" w:hAnsi="Lindsey" w:cstheme="minorHAnsi"/>
          <w:bCs/>
          <w:sz w:val="23"/>
          <w:szCs w:val="23"/>
        </w:rPr>
        <w:t>Stepien</w:t>
      </w:r>
      <w:proofErr w:type="spellEnd"/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 and Gallagher 1998).</w:t>
      </w:r>
    </w:p>
    <w:p w:rsidR="00744D20" w:rsidRPr="00744D20" w:rsidRDefault="00744D20" w:rsidP="00744D20">
      <w:pPr>
        <w:pStyle w:val="ListParagraph"/>
        <w:spacing w:before="100" w:beforeAutospacing="1" w:after="100" w:afterAutospacing="1" w:line="240" w:lineRule="auto"/>
        <w:rPr>
          <w:rFonts w:ascii="Lindsey" w:eastAsia="Times New Roman" w:hAnsi="Lindsey" w:cstheme="minorHAnsi"/>
          <w:sz w:val="23"/>
          <w:szCs w:val="23"/>
        </w:rPr>
      </w:pPr>
    </w:p>
    <w:p w:rsidR="00367B24" w:rsidRDefault="00367B24" w:rsidP="00D342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indsey" w:eastAsia="Times New Roman" w:hAnsi="Lindsey" w:cstheme="minorHAnsi"/>
          <w:bCs/>
          <w:sz w:val="23"/>
          <w:szCs w:val="23"/>
        </w:rPr>
      </w:pPr>
      <w:r w:rsidRPr="00D342AA">
        <w:rPr>
          <w:rFonts w:ascii="Lindsey" w:eastAsia="Times New Roman" w:hAnsi="Lindsey" w:cstheme="minorHAnsi"/>
          <w:bCs/>
          <w:sz w:val="23"/>
          <w:szCs w:val="23"/>
          <w:u w:val="single"/>
        </w:rPr>
        <w:t>Students’ motivation level significantly increases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 due to the students taking ownership in the direction and content of learning and in forming their own conclusions. </w:t>
      </w:r>
    </w:p>
    <w:p w:rsidR="00744D20" w:rsidRPr="00744D20" w:rsidRDefault="00744D20" w:rsidP="00744D20">
      <w:pPr>
        <w:pStyle w:val="ListParagraph"/>
        <w:rPr>
          <w:rFonts w:ascii="Lindsey" w:eastAsia="Times New Roman" w:hAnsi="Lindsey" w:cstheme="minorHAnsi"/>
          <w:bCs/>
          <w:sz w:val="23"/>
          <w:szCs w:val="23"/>
        </w:rPr>
      </w:pPr>
    </w:p>
    <w:p w:rsidR="00367B24" w:rsidRPr="00744D20" w:rsidRDefault="00367B24" w:rsidP="00D342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indsey" w:eastAsia="Times New Roman" w:hAnsi="Lindsey" w:cstheme="minorHAnsi"/>
          <w:sz w:val="23"/>
          <w:szCs w:val="23"/>
        </w:rPr>
      </w:pP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Meaningful, problem-oriented approaches to learning (rather than fact oriented approaches) are more likely to </w:t>
      </w:r>
      <w:r w:rsidRPr="00D342AA">
        <w:rPr>
          <w:rFonts w:ascii="Lindsey" w:eastAsia="Times New Roman" w:hAnsi="Lindsey" w:cstheme="minorHAnsi"/>
          <w:bCs/>
          <w:sz w:val="23"/>
          <w:szCs w:val="23"/>
          <w:u w:val="single"/>
        </w:rPr>
        <w:t>overcome inert knowledge problems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 (Cognition and Technology Group at Vanderbilt, 1990). The students are more likely to </w:t>
      </w:r>
      <w:r w:rsidRPr="00D342AA">
        <w:rPr>
          <w:rFonts w:ascii="Lindsey" w:eastAsia="Times New Roman" w:hAnsi="Lindsey" w:cstheme="minorHAnsi"/>
          <w:bCs/>
          <w:sz w:val="23"/>
          <w:szCs w:val="23"/>
          <w:u w:val="single"/>
        </w:rPr>
        <w:t>retain their knowledge for a longer period of time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 through PBL as opposed to rote learning.</w:t>
      </w:r>
    </w:p>
    <w:p w:rsidR="00744D20" w:rsidRPr="00D342AA" w:rsidRDefault="00744D20" w:rsidP="00744D20">
      <w:pPr>
        <w:pStyle w:val="ListParagraph"/>
        <w:spacing w:before="100" w:beforeAutospacing="1" w:after="100" w:afterAutospacing="1" w:line="240" w:lineRule="auto"/>
        <w:rPr>
          <w:rFonts w:ascii="Lindsey" w:eastAsia="Times New Roman" w:hAnsi="Lindsey" w:cstheme="minorHAnsi"/>
          <w:sz w:val="23"/>
          <w:szCs w:val="23"/>
        </w:rPr>
      </w:pPr>
    </w:p>
    <w:p w:rsidR="00367B24" w:rsidRPr="00744D20" w:rsidRDefault="00367B24" w:rsidP="00D342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indsey" w:eastAsia="Times New Roman" w:hAnsi="Lindsey" w:cstheme="minorHAnsi"/>
          <w:sz w:val="23"/>
          <w:szCs w:val="23"/>
        </w:rPr>
      </w:pPr>
      <w:r w:rsidRPr="00D342AA">
        <w:rPr>
          <w:rFonts w:ascii="Lindsey" w:eastAsia="Times New Roman" w:hAnsi="Lindsey" w:cstheme="minorHAnsi"/>
          <w:bCs/>
          <w:sz w:val="23"/>
          <w:szCs w:val="23"/>
          <w:u w:val="single"/>
        </w:rPr>
        <w:t>Higher-ordered thinking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 is requi</w:t>
      </w:r>
      <w:r w:rsidR="00D342AA">
        <w:rPr>
          <w:rFonts w:ascii="Lindsey" w:eastAsia="Times New Roman" w:hAnsi="Lindsey" w:cstheme="minorHAnsi"/>
          <w:bCs/>
          <w:sz w:val="23"/>
          <w:szCs w:val="23"/>
        </w:rPr>
        <w:t xml:space="preserve">red in this instructional model, 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which is a welcoming change from traditional way of learning, as this will equip them with higher order cognitive abilities and </w:t>
      </w:r>
      <w:r w:rsidRPr="00D342AA">
        <w:rPr>
          <w:rFonts w:ascii="Lindsey" w:eastAsia="Times New Roman" w:hAnsi="Lindsey" w:cstheme="minorHAnsi"/>
          <w:bCs/>
          <w:sz w:val="23"/>
          <w:szCs w:val="23"/>
          <w:u w:val="single"/>
        </w:rPr>
        <w:t>prepare the learners for higher education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>.</w:t>
      </w:r>
    </w:p>
    <w:p w:rsidR="00744D20" w:rsidRPr="00D342AA" w:rsidRDefault="00744D20" w:rsidP="00744D20">
      <w:pPr>
        <w:pStyle w:val="ListParagraph"/>
        <w:spacing w:before="100" w:beforeAutospacing="1" w:after="100" w:afterAutospacing="1" w:line="240" w:lineRule="auto"/>
        <w:rPr>
          <w:rFonts w:ascii="Lindsey" w:eastAsia="Times New Roman" w:hAnsi="Lindsey" w:cstheme="minorHAnsi"/>
          <w:sz w:val="23"/>
          <w:szCs w:val="23"/>
        </w:rPr>
      </w:pPr>
    </w:p>
    <w:p w:rsidR="00367B24" w:rsidRPr="00D342AA" w:rsidRDefault="00367B24" w:rsidP="00D342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indsey" w:eastAsia="Times New Roman" w:hAnsi="Lindsey" w:cstheme="minorHAnsi"/>
          <w:bCs/>
          <w:sz w:val="23"/>
          <w:szCs w:val="23"/>
        </w:rPr>
      </w:pP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The students actually </w:t>
      </w:r>
      <w:r w:rsidRPr="00D342AA">
        <w:rPr>
          <w:rFonts w:ascii="Lindsey" w:eastAsia="Times New Roman" w:hAnsi="Lindsey" w:cstheme="minorHAnsi"/>
          <w:bCs/>
          <w:sz w:val="23"/>
          <w:szCs w:val="23"/>
          <w:u w:val="single"/>
        </w:rPr>
        <w:t>learn much more in a group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 (Miller, M. P., 1996) and </w:t>
      </w:r>
      <w:r w:rsidRPr="00D342AA">
        <w:rPr>
          <w:rFonts w:ascii="Lindsey" w:eastAsia="Times New Roman" w:hAnsi="Lindsey" w:cstheme="minorHAnsi"/>
          <w:bCs/>
          <w:sz w:val="23"/>
          <w:szCs w:val="23"/>
          <w:u w:val="single"/>
        </w:rPr>
        <w:t>have deeper understanding</w:t>
      </w:r>
      <w:r w:rsidRPr="00D342AA">
        <w:rPr>
          <w:rFonts w:ascii="Lindsey" w:eastAsia="Times New Roman" w:hAnsi="Lindsey" w:cstheme="minorHAnsi"/>
          <w:bCs/>
          <w:sz w:val="23"/>
          <w:szCs w:val="23"/>
        </w:rPr>
        <w:t xml:space="preserve"> of the learning issue.</w:t>
      </w:r>
    </w:p>
    <w:p w:rsidR="00D342AA" w:rsidRDefault="00D342AA" w:rsidP="00D342AA">
      <w:pPr>
        <w:spacing w:before="100" w:beforeAutospacing="1" w:after="100" w:afterAutospacing="1" w:line="240" w:lineRule="auto"/>
        <w:rPr>
          <w:rFonts w:ascii="Lindsey" w:eastAsia="Times New Roman" w:hAnsi="Lindsey" w:cstheme="minorHAnsi"/>
          <w:bCs/>
          <w:iCs/>
          <w:u w:val="single"/>
        </w:rPr>
      </w:pPr>
    </w:p>
    <w:p w:rsidR="00D342AA" w:rsidRDefault="00D342AA" w:rsidP="00D342AA">
      <w:pPr>
        <w:spacing w:before="100" w:beforeAutospacing="1" w:after="100" w:afterAutospacing="1" w:line="240" w:lineRule="auto"/>
        <w:rPr>
          <w:rFonts w:ascii="Lindsey" w:eastAsia="Times New Roman" w:hAnsi="Lindsey" w:cstheme="minorHAnsi"/>
          <w:bCs/>
          <w:iCs/>
          <w:u w:val="single"/>
        </w:rPr>
      </w:pPr>
    </w:p>
    <w:p w:rsidR="00367B24" w:rsidRPr="00D342AA" w:rsidRDefault="00367B24" w:rsidP="00D342AA">
      <w:pPr>
        <w:spacing w:before="100" w:beforeAutospacing="1" w:after="100" w:afterAutospacing="1" w:line="240" w:lineRule="auto"/>
        <w:rPr>
          <w:rFonts w:ascii="Lindsey" w:eastAsia="Times New Roman" w:hAnsi="Lindsey" w:cstheme="minorHAnsi"/>
        </w:rPr>
      </w:pPr>
      <w:r w:rsidRPr="00D342AA">
        <w:rPr>
          <w:rFonts w:ascii="Lindsey" w:eastAsia="Times New Roman" w:hAnsi="Lindsey" w:cstheme="minorHAnsi"/>
          <w:bCs/>
          <w:iCs/>
          <w:u w:val="single"/>
        </w:rPr>
        <w:t>References</w:t>
      </w:r>
      <w:r w:rsidRPr="00D342AA">
        <w:rPr>
          <w:rFonts w:ascii="Lindsey" w:eastAsia="Times New Roman" w:hAnsi="Lindsey" w:cstheme="minorHAnsi"/>
          <w:bCs/>
          <w:iCs/>
        </w:rPr>
        <w:t>:</w:t>
      </w:r>
    </w:p>
    <w:p w:rsidR="00367B24" w:rsidRPr="00D342AA" w:rsidRDefault="00367B24" w:rsidP="00D342AA">
      <w:pPr>
        <w:spacing w:before="100" w:beforeAutospacing="1" w:after="100" w:afterAutospacing="1" w:line="240" w:lineRule="auto"/>
        <w:rPr>
          <w:rFonts w:ascii="Lindsey" w:eastAsia="Times New Roman" w:hAnsi="Lindsey" w:cstheme="minorHAnsi"/>
          <w:bCs/>
        </w:rPr>
      </w:pPr>
      <w:proofErr w:type="spellStart"/>
      <w:proofErr w:type="gramStart"/>
      <w:r w:rsidRPr="00D342AA">
        <w:rPr>
          <w:rFonts w:ascii="Lindsey" w:eastAsia="Times New Roman" w:hAnsi="Lindsey" w:cstheme="minorHAnsi"/>
          <w:bCs/>
        </w:rPr>
        <w:t>Bellanca</w:t>
      </w:r>
      <w:proofErr w:type="spellEnd"/>
      <w:r w:rsidRPr="00D342AA">
        <w:rPr>
          <w:rFonts w:ascii="Lindsey" w:eastAsia="Times New Roman" w:hAnsi="Lindsey" w:cstheme="minorHAnsi"/>
          <w:bCs/>
        </w:rPr>
        <w:t>, J., Fogarty, R., and Pete, B. (2012).</w:t>
      </w:r>
      <w:proofErr w:type="gramEnd"/>
      <w:r w:rsidRPr="00D342AA">
        <w:rPr>
          <w:rFonts w:ascii="Lindsey" w:eastAsia="Times New Roman" w:hAnsi="Lindsey" w:cstheme="minorHAnsi"/>
          <w:bCs/>
        </w:rPr>
        <w:t xml:space="preserve">  7 Key Student Proficiencies of the New National Standards: How to Teach Thinking Skills </w:t>
      </w:r>
      <w:proofErr w:type="gramStart"/>
      <w:r w:rsidRPr="00D342AA">
        <w:rPr>
          <w:rFonts w:ascii="Lindsey" w:eastAsia="Times New Roman" w:hAnsi="Lindsey" w:cstheme="minorHAnsi"/>
          <w:bCs/>
        </w:rPr>
        <w:t>Within</w:t>
      </w:r>
      <w:proofErr w:type="gramEnd"/>
      <w:r w:rsidRPr="00D342AA">
        <w:rPr>
          <w:rFonts w:ascii="Lindsey" w:eastAsia="Times New Roman" w:hAnsi="Lindsey" w:cstheme="minorHAnsi"/>
          <w:bCs/>
        </w:rPr>
        <w:t xml:space="preserve"> the Common Core. Solution Tree Press: Bloomington, IL.</w:t>
      </w:r>
    </w:p>
    <w:p w:rsidR="00367B24" w:rsidRPr="00D342AA" w:rsidRDefault="00367B24" w:rsidP="00D342AA">
      <w:pPr>
        <w:spacing w:before="100" w:beforeAutospacing="1" w:after="100" w:afterAutospacing="1" w:line="240" w:lineRule="auto"/>
        <w:rPr>
          <w:rFonts w:ascii="Lindsey" w:eastAsia="Times New Roman" w:hAnsi="Lindsey" w:cstheme="minorHAnsi"/>
        </w:rPr>
      </w:pPr>
      <w:proofErr w:type="gramStart"/>
      <w:r w:rsidRPr="00D342AA">
        <w:rPr>
          <w:rFonts w:ascii="Lindsey" w:eastAsia="Times New Roman" w:hAnsi="Lindsey" w:cstheme="minorHAnsi"/>
          <w:bCs/>
        </w:rPr>
        <w:t>Cognition and Technology Group at Vanderbilt.</w:t>
      </w:r>
      <w:proofErr w:type="gramEnd"/>
      <w:r w:rsidRPr="00D342AA">
        <w:rPr>
          <w:rFonts w:ascii="Lindsey" w:eastAsia="Times New Roman" w:hAnsi="Lindsey" w:cstheme="minorHAnsi"/>
          <w:bCs/>
        </w:rPr>
        <w:t xml:space="preserve"> </w:t>
      </w:r>
      <w:proofErr w:type="gramStart"/>
      <w:r w:rsidRPr="00D342AA">
        <w:rPr>
          <w:rFonts w:ascii="Lindsey" w:eastAsia="Times New Roman" w:hAnsi="Lindsey" w:cstheme="minorHAnsi"/>
          <w:bCs/>
        </w:rPr>
        <w:t>(1990). Anchored instruction and its relationship to situated cognition.</w:t>
      </w:r>
      <w:proofErr w:type="gramEnd"/>
      <w:r w:rsidRPr="00D342AA">
        <w:rPr>
          <w:rFonts w:ascii="Lindsey" w:eastAsia="Times New Roman" w:hAnsi="Lindsey" w:cstheme="minorHAnsi"/>
          <w:bCs/>
        </w:rPr>
        <w:t xml:space="preserve"> Educational Researcher, 19(6):2-10.</w:t>
      </w:r>
    </w:p>
    <w:p w:rsidR="00367B24" w:rsidRPr="00D342AA" w:rsidRDefault="00367B24" w:rsidP="00D342AA">
      <w:pPr>
        <w:spacing w:before="100" w:beforeAutospacing="1" w:after="100" w:afterAutospacing="1" w:line="240" w:lineRule="auto"/>
        <w:rPr>
          <w:rFonts w:ascii="Lindsey" w:eastAsia="Times New Roman" w:hAnsi="Lindsey" w:cstheme="minorHAnsi"/>
          <w:bCs/>
        </w:rPr>
      </w:pPr>
      <w:proofErr w:type="gramStart"/>
      <w:r w:rsidRPr="00D342AA">
        <w:rPr>
          <w:rFonts w:ascii="Lindsey" w:eastAsia="Times New Roman" w:hAnsi="Lindsey" w:cstheme="minorHAnsi"/>
          <w:bCs/>
        </w:rPr>
        <w:t>Glazer, E. (2001).</w:t>
      </w:r>
      <w:proofErr w:type="gramEnd"/>
      <w:r w:rsidRPr="00D342AA">
        <w:rPr>
          <w:rFonts w:ascii="Lindsey" w:eastAsia="Times New Roman" w:hAnsi="Lindsey" w:cstheme="minorHAnsi"/>
          <w:bCs/>
        </w:rPr>
        <w:t xml:space="preserve"> Instructional models for problem-based inquiry. </w:t>
      </w:r>
      <w:proofErr w:type="gramStart"/>
      <w:r w:rsidRPr="00D342AA">
        <w:rPr>
          <w:rFonts w:ascii="Lindsey" w:eastAsia="Times New Roman" w:hAnsi="Lindsey" w:cstheme="minorHAnsi"/>
          <w:bCs/>
        </w:rPr>
        <w:t xml:space="preserve">In M. </w:t>
      </w:r>
      <w:proofErr w:type="spellStart"/>
      <w:r w:rsidRPr="00D342AA">
        <w:rPr>
          <w:rFonts w:ascii="Lindsey" w:eastAsia="Times New Roman" w:hAnsi="Lindsey" w:cstheme="minorHAnsi"/>
          <w:bCs/>
        </w:rPr>
        <w:t>Orey</w:t>
      </w:r>
      <w:proofErr w:type="spellEnd"/>
      <w:r w:rsidRPr="00D342AA">
        <w:rPr>
          <w:rFonts w:ascii="Lindsey" w:eastAsia="Times New Roman" w:hAnsi="Lindsey" w:cstheme="minorHAnsi"/>
          <w:bCs/>
        </w:rPr>
        <w:t xml:space="preserve"> (Ed.), Emerging perspectives on learning, teaching, and technology.</w:t>
      </w:r>
      <w:proofErr w:type="gramEnd"/>
      <w:r w:rsidRPr="00D342AA">
        <w:rPr>
          <w:rFonts w:ascii="Lindsey" w:eastAsia="Times New Roman" w:hAnsi="Lindsey" w:cstheme="minorHAnsi"/>
          <w:bCs/>
        </w:rPr>
        <w:t xml:space="preserve"> Website: </w:t>
      </w:r>
      <w:hyperlink r:id="rId8" w:history="1">
        <w:r w:rsidRPr="00D342AA">
          <w:rPr>
            <w:rStyle w:val="Hyperlink"/>
            <w:rFonts w:ascii="Lindsey" w:eastAsia="Times New Roman" w:hAnsi="Lindsey" w:cstheme="minorHAnsi"/>
            <w:bCs/>
          </w:rPr>
          <w:t>http://epltt.coe.uga.edu/index.php?title=Problem_Based_Instruction</w:t>
        </w:r>
      </w:hyperlink>
    </w:p>
    <w:p w:rsidR="00367B24" w:rsidRPr="00D342AA" w:rsidRDefault="00367B24" w:rsidP="00D342AA">
      <w:pPr>
        <w:spacing w:before="100" w:beforeAutospacing="1" w:after="100" w:afterAutospacing="1" w:line="240" w:lineRule="auto"/>
        <w:rPr>
          <w:rFonts w:ascii="Lindsey" w:eastAsia="Times New Roman" w:hAnsi="Lindsey" w:cstheme="minorHAnsi"/>
          <w:bCs/>
        </w:rPr>
      </w:pPr>
      <w:r w:rsidRPr="00D342AA">
        <w:rPr>
          <w:rFonts w:ascii="Lindsey" w:eastAsia="Times New Roman" w:hAnsi="Lindsey" w:cstheme="minorHAnsi"/>
          <w:bCs/>
        </w:rPr>
        <w:t xml:space="preserve">Miller, M. P. (1996). </w:t>
      </w:r>
      <w:proofErr w:type="gramStart"/>
      <w:r w:rsidRPr="00D342AA">
        <w:rPr>
          <w:rFonts w:ascii="Lindsey" w:eastAsia="Times New Roman" w:hAnsi="Lindsey" w:cstheme="minorHAnsi"/>
          <w:bCs/>
        </w:rPr>
        <w:t>Introducing Art History through Problem-Based Learning.</w:t>
      </w:r>
      <w:proofErr w:type="gramEnd"/>
      <w:r w:rsidRPr="00D342AA">
        <w:rPr>
          <w:rFonts w:ascii="Lindsey" w:eastAsia="Times New Roman" w:hAnsi="Lindsey" w:cstheme="minorHAnsi"/>
          <w:bCs/>
        </w:rPr>
        <w:t xml:space="preserve"> </w:t>
      </w:r>
      <w:proofErr w:type="gramStart"/>
      <w:r w:rsidRPr="00D342AA">
        <w:rPr>
          <w:rFonts w:ascii="Lindsey" w:eastAsia="Times New Roman" w:hAnsi="Lindsey" w:cstheme="minorHAnsi"/>
          <w:bCs/>
        </w:rPr>
        <w:t>About Teaching, (50).</w:t>
      </w:r>
      <w:proofErr w:type="gramEnd"/>
      <w:r w:rsidRPr="00D342AA">
        <w:rPr>
          <w:rFonts w:ascii="Lindsey" w:eastAsia="Times New Roman" w:hAnsi="Lindsey" w:cstheme="minorHAnsi"/>
          <w:bCs/>
        </w:rPr>
        <w:t xml:space="preserve"> Available Website: </w:t>
      </w:r>
      <w:hyperlink r:id="rId9" w:history="1">
        <w:r w:rsidRPr="00D342AA">
          <w:rPr>
            <w:rStyle w:val="Hyperlink"/>
            <w:rFonts w:ascii="Lindsey" w:eastAsia="Times New Roman" w:hAnsi="Lindsey" w:cstheme="minorHAnsi"/>
            <w:bCs/>
          </w:rPr>
          <w:t>http://www.udel.edu/pbl/cte/spr96-arth.html</w:t>
        </w:r>
      </w:hyperlink>
    </w:p>
    <w:p w:rsidR="008F421E" w:rsidRPr="00D342AA" w:rsidRDefault="00367B24" w:rsidP="00D342AA">
      <w:pPr>
        <w:spacing w:before="100" w:beforeAutospacing="1" w:after="100" w:afterAutospacing="1" w:line="240" w:lineRule="auto"/>
        <w:rPr>
          <w:rFonts w:ascii="Lindsey" w:eastAsia="Times New Roman" w:hAnsi="Lindsey" w:cstheme="minorHAnsi"/>
        </w:rPr>
      </w:pPr>
      <w:proofErr w:type="spellStart"/>
      <w:r w:rsidRPr="00D342AA">
        <w:rPr>
          <w:rFonts w:ascii="Lindsey" w:eastAsia="Times New Roman" w:hAnsi="Lindsey" w:cstheme="minorHAnsi"/>
          <w:bCs/>
        </w:rPr>
        <w:t>Stepien</w:t>
      </w:r>
      <w:proofErr w:type="spellEnd"/>
      <w:r w:rsidRPr="00D342AA">
        <w:rPr>
          <w:rFonts w:ascii="Lindsey" w:eastAsia="Times New Roman" w:hAnsi="Lindsey" w:cstheme="minorHAnsi"/>
          <w:bCs/>
        </w:rPr>
        <w:t>, W &amp; Gallagher, S. (1998). Problem-based learning: An instructional model and its constructivist framework. Pp 43-49 In Fogarty, R. (</w:t>
      </w:r>
      <w:proofErr w:type="spellStart"/>
      <w:proofErr w:type="gramStart"/>
      <w:r w:rsidRPr="00D342AA">
        <w:rPr>
          <w:rFonts w:ascii="Lindsey" w:eastAsia="Times New Roman" w:hAnsi="Lindsey" w:cstheme="minorHAnsi"/>
          <w:bCs/>
        </w:rPr>
        <w:t>ed</w:t>
      </w:r>
      <w:proofErr w:type="spellEnd"/>
      <w:proofErr w:type="gramEnd"/>
      <w:r w:rsidRPr="00D342AA">
        <w:rPr>
          <w:rFonts w:ascii="Lindsey" w:eastAsia="Times New Roman" w:hAnsi="Lindsey" w:cstheme="minorHAnsi"/>
          <w:bCs/>
        </w:rPr>
        <w:t>) Problem-based learning: A collection of articles. Skylight Publishing: Arlington Heights, IL</w:t>
      </w:r>
      <w:r w:rsidRPr="00D342AA">
        <w:rPr>
          <w:rFonts w:ascii="Lindsey" w:eastAsia="Times New Roman" w:hAnsi="Lindsey" w:cstheme="minorHAnsi"/>
        </w:rPr>
        <w:t xml:space="preserve"> </w:t>
      </w:r>
    </w:p>
    <w:sectPr w:rsidR="008F421E" w:rsidRPr="00D342AA" w:rsidSect="00FA2561">
      <w:headerReference w:type="default" r:id="rId10"/>
      <w:footerReference w:type="default" r:id="rId11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CE" w:rsidRDefault="00221ECE" w:rsidP="00383E68">
      <w:pPr>
        <w:spacing w:after="0" w:line="240" w:lineRule="auto"/>
      </w:pPr>
      <w:r>
        <w:separator/>
      </w:r>
    </w:p>
  </w:endnote>
  <w:endnote w:type="continuationSeparator" w:id="0">
    <w:p w:rsidR="00221ECE" w:rsidRDefault="00221ECE" w:rsidP="0038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dsey">
    <w:panose1 w:val="03080502040402020203"/>
    <w:charset w:val="00"/>
    <w:family w:val="script"/>
    <w:pitch w:val="variable"/>
    <w:sig w:usb0="80000003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61" w:rsidRDefault="00367B2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USD 259 Project-Based Learning (PBL) – January 2, 2014 In-Service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83E68">
      <w:fldChar w:fldCharType="begin"/>
    </w:r>
    <w:r>
      <w:instrText xml:space="preserve"> PAGE   \* MERGEFORMAT </w:instrText>
    </w:r>
    <w:r w:rsidR="00383E68">
      <w:fldChar w:fldCharType="separate"/>
    </w:r>
    <w:r w:rsidR="00744D20" w:rsidRPr="00744D20">
      <w:rPr>
        <w:rFonts w:asciiTheme="majorHAnsi" w:hAnsiTheme="majorHAnsi"/>
        <w:noProof/>
      </w:rPr>
      <w:t>1</w:t>
    </w:r>
    <w:r w:rsidR="00383E68">
      <w:fldChar w:fldCharType="end"/>
    </w:r>
  </w:p>
  <w:p w:rsidR="00FA2561" w:rsidRDefault="00221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CE" w:rsidRDefault="00221ECE" w:rsidP="00383E68">
      <w:pPr>
        <w:spacing w:after="0" w:line="240" w:lineRule="auto"/>
      </w:pPr>
      <w:r>
        <w:separator/>
      </w:r>
    </w:p>
  </w:footnote>
  <w:footnote w:type="continuationSeparator" w:id="0">
    <w:p w:rsidR="00221ECE" w:rsidRDefault="00221ECE" w:rsidP="0038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AA" w:rsidRDefault="00D342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F9A"/>
    <w:multiLevelType w:val="hybridMultilevel"/>
    <w:tmpl w:val="04E6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B24"/>
    <w:rsid w:val="0008363D"/>
    <w:rsid w:val="00177560"/>
    <w:rsid w:val="00221ECE"/>
    <w:rsid w:val="0026384A"/>
    <w:rsid w:val="00367B24"/>
    <w:rsid w:val="00383E68"/>
    <w:rsid w:val="0062381C"/>
    <w:rsid w:val="00744D20"/>
    <w:rsid w:val="00850AEE"/>
    <w:rsid w:val="008C40D3"/>
    <w:rsid w:val="008F421E"/>
    <w:rsid w:val="009209C9"/>
    <w:rsid w:val="00D3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B2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B24"/>
  </w:style>
  <w:style w:type="paragraph" w:styleId="Header">
    <w:name w:val="header"/>
    <w:basedOn w:val="Normal"/>
    <w:link w:val="HeaderChar"/>
    <w:uiPriority w:val="99"/>
    <w:unhideWhenUsed/>
    <w:rsid w:val="00D3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AA"/>
  </w:style>
  <w:style w:type="paragraph" w:styleId="BalloonText">
    <w:name w:val="Balloon Text"/>
    <w:basedOn w:val="Normal"/>
    <w:link w:val="BalloonTextChar"/>
    <w:uiPriority w:val="99"/>
    <w:semiHidden/>
    <w:unhideWhenUsed/>
    <w:rsid w:val="00D3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ltt.coe.uga.edu/index.php?title=Problem_Based_Instru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el.edu/pbl/cte/spr96-ar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AC04E63-1F1A-4003-A729-493FC0B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259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 259 Project-Based Learning (PBL) – January 2, 2014 In-Service</dc:title>
  <dc:creator>Windows User</dc:creator>
  <cp:lastModifiedBy>Windows User</cp:lastModifiedBy>
  <cp:revision>2</cp:revision>
  <dcterms:created xsi:type="dcterms:W3CDTF">2014-01-02T00:57:00Z</dcterms:created>
  <dcterms:modified xsi:type="dcterms:W3CDTF">2014-01-02T00:57:00Z</dcterms:modified>
</cp:coreProperties>
</file>